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1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2702"/>
        <w:gridCol w:w="713"/>
        <w:gridCol w:w="834"/>
        <w:gridCol w:w="736"/>
        <w:gridCol w:w="118"/>
        <w:gridCol w:w="286"/>
        <w:gridCol w:w="876"/>
        <w:gridCol w:w="541"/>
        <w:gridCol w:w="866"/>
        <w:gridCol w:w="1119"/>
        <w:gridCol w:w="279"/>
      </w:tblGrid>
      <w:tr w:rsidR="00D3296C" w:rsidTr="00E35A25">
        <w:trPr>
          <w:trHeight w:val="140"/>
        </w:trPr>
        <w:tc>
          <w:tcPr>
            <w:tcW w:w="1091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296C" w:rsidRDefault="00D3296C" w:rsidP="00E35A25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Әл-Фараби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</w:p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факультет</w:t>
            </w:r>
          </w:p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Көктемгі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  2019-2020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</w:tr>
      <w:tr w:rsidR="00D3296C" w:rsidTr="00E35A25">
        <w:trPr>
          <w:trHeight w:val="26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саны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</w:p>
        </w:tc>
      </w:tr>
      <w:tr w:rsidR="00D3296C" w:rsidTr="00E35A25">
        <w:trPr>
          <w:trHeight w:val="26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1108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235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қ/б,  2 семестр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</w:t>
            </w:r>
          </w:p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</w:t>
            </w:r>
            <w:proofErr w:type="spellEnd"/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Әуелханқызы Мадина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</w:t>
            </w:r>
            <w:proofErr w:type="spellEnd"/>
          </w:p>
        </w:tc>
        <w:tc>
          <w:tcPr>
            <w:tcW w:w="1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D3296C" w:rsidRPr="00964813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Pr="00A16CDB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6C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301F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A16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01F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auyelkhankyzy</w:t>
              </w:r>
              <w:r w:rsidRPr="00A16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01F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16C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01FF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Pr="00A16CDB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Pr="00A16CDB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Pr="00A16CDB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тел.: 870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2 550 19 64</w:t>
            </w:r>
          </w:p>
        </w:tc>
        <w:tc>
          <w:tcPr>
            <w:tcW w:w="1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Pr="00A16CDB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11, 217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презентациясы</w:t>
            </w:r>
            <w:proofErr w:type="spellEnd"/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Оралман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тыңдаушыларының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й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қанықпаған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ароматты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Спирттер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Фенолдар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эфирлер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Оксоқышқылдар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Ақуыздар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нәтижесінде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тыңдаушылар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стехиометриялық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заңдары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қанықпаған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ароматты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Спирттер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Фенолдар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эфирлер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Оксоқышқылдар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Ақуыздар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карбонилді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карбон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қышқылы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нитроқосылыстар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Оксоқышқылдар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Ақуыздар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Гетероциклді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Полимеризация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поликонденсация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Сияқты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мәселелерді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ұқсастықтары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айырмашылықтарын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ірибелерді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гипотеза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шекарасын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296C" w:rsidRDefault="00D3296C" w:rsidP="00E35A25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ұғымдарды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заңдарын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химия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зерттейтін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құбылыстар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D3296C" w:rsidRDefault="00D3296C" w:rsidP="00E35A25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эксперимент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қоюға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Пререкв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r>
              <w:t>-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Пострекв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r>
              <w:t>-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ресурстар</w:t>
            </w:r>
            <w:proofErr w:type="spellEnd"/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Сейтжанов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Алматы: . 2005 – 638б. 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М.И., Сарманова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Алматы. Рауан,1990 – 168б.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Шайқұтді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Хұсайынова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оқулық.Алматы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2001. - 260б.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Паула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Юрканис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Брюис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аударма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химия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2-бөлім, 2013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2014 ж.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Петров А.А.,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Х.В., Трощенко А.Т.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химия. – М.: ВШ, 1981. 3.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Грандберг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И.И. Органическая химия. - М., 1974.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М.Қ.Бейсебеков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Ж.Ə.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Əбілов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химия, Алматы,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2013, 338 б.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В.Ф. Органическая химия. 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КЦ. Академкнига, 2004, Т.1,2.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әдебиеттер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Сагитуллин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Р.М., Терентьев А.П. Задачи и упражнения по органической химии. М., 1974.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Методические разработки кафедры органической химии и химии природных соединений по органической химии. Алматы.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Потапов В.М.,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Татаринчик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С.Н. Органическая химия. – М., 1979. 10.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Ю.С. Органическая химия.-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М.:Химия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2000, 848 с.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Соколов Р.С. Химическая технология. М.:"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2 том, 2003. 12. Альбицкая В.М.,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Бальян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Х.В. и др. Лабораторные работы по органической химии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од ред. Гинзбурга М.: ВШ,1982.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Агрономов А.Е.,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Шабаров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Ю.С. Лабораторные работы в органическом практикуме. - М.: Химия, 1974.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Тюкавкина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 Руководство к лабораторным занятиям по органической химии. – М.: Дрофа, 2002.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Ким А.М. Органическая химия. Новосибирск: Сибирское университетское издательство. 2004. </w:t>
            </w:r>
          </w:p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Нейланд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О.Я. Органическая химия. М.: Высшая школа , 1990</w:t>
            </w:r>
          </w:p>
        </w:tc>
      </w:tr>
      <w:tr w:rsidR="00D3296C" w:rsidTr="00E35A25">
        <w:trPr>
          <w:trHeight w:val="1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ереженің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тәртібі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даушылар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қалмауға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кешікпей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келуге</w:t>
            </w:r>
            <w:proofErr w:type="spellEnd"/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міндетті.Оқытушыға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болмауы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кешігуі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(СӨЖ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бұзған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айыппұл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жалғандық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шпаргалка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көшіру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296C" w:rsidRDefault="00D3296C" w:rsidP="00E35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…, телефон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96C" w:rsidTr="00E35A25">
        <w:tc>
          <w:tcPr>
            <w:tcW w:w="109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/>
        </w:tc>
      </w:tr>
      <w:tr w:rsidR="00D3296C" w:rsidTr="00E35A25">
        <w:trPr>
          <w:trHeight w:val="50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саясаты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Өзінді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ұмысты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/>
        </w:tc>
      </w:tr>
      <w:tr w:rsidR="00D3296C" w:rsidTr="00E35A25">
        <w:trPr>
          <w:trHeight w:val="56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b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тапсырмасы</w:t>
            </w:r>
            <w:proofErr w:type="spellEnd"/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96C" w:rsidTr="00E35A25"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rPr>
                <w:b/>
              </w:rPr>
            </w:pPr>
          </w:p>
        </w:tc>
        <w:tc>
          <w:tcPr>
            <w:tcW w:w="9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</w:p>
          <w:p w:rsidR="00D3296C" w:rsidRDefault="00D3296C" w:rsidP="00E35A25">
            <w:pPr>
              <w:rPr>
                <w:rFonts w:ascii="Cambria" w:eastAsia="Cambria" w:hAnsi="Cambria" w:cs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" w:eastAsia="Cambria" w:hAnsi="Cambria" w:cs="Cambria"/>
                    <w:sz w:val="24"/>
                    <w:szCs w:val="24"/>
                  </w:rPr>
                  <m:t>Пәнбойыншықорытындыбаға=</m:t>
                </m:r>
                <m:f>
                  <m:fPr>
                    <m:ctrlP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m:t>АБ1+АБ2</m:t>
                    </m:r>
                  </m:num>
                  <m:den>
                    <m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" w:eastAsia="Cambria" w:hAnsi="Cambria" w:cs="Cambria"/>
                    <w:sz w:val="24"/>
                    <w:szCs w:val="24"/>
                  </w:rPr>
                  <m:t>∙0,6+0,3ИК</m:t>
                </m:r>
              </m:oMath>
            </m:oMathPara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пайыздық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296C" w:rsidRDefault="00D3296C" w:rsidP="00E35A25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D3296C" w:rsidRDefault="00D3296C" w:rsidP="00E35A25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D3296C" w:rsidRDefault="00D3296C" w:rsidP="00E35A25">
            <w:pPr>
              <w:tabs>
                <w:tab w:val="left" w:pos="426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D3296C" w:rsidRDefault="00D3296C" w:rsidP="00E35A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55% - 59%: D+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 - 54%: 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0% -49%: F</w:t>
            </w:r>
          </w:p>
        </w:tc>
      </w:tr>
    </w:tbl>
    <w:p w:rsidR="00D3296C" w:rsidRDefault="00D3296C" w:rsidP="00D3296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96C" w:rsidRDefault="00D3296C" w:rsidP="00D3296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96C" w:rsidRDefault="00D3296C" w:rsidP="00D3296C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Курстың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мазмұнын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асыру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күнтізбесі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774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7505"/>
        <w:gridCol w:w="1143"/>
        <w:gridCol w:w="1134"/>
      </w:tblGrid>
      <w:tr w:rsidR="00D3296C" w:rsidTr="00E35A25">
        <w:trPr>
          <w:trHeight w:val="5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СӨЖ)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D3296C" w:rsidTr="00E35A25">
        <w:trPr>
          <w:trHeight w:val="11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іспе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қабілеттілігі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Молекуладағы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атомдардың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Қаныққан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алкандар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конформациялық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анализі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Нуклеофильді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орынбасу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Радикалдық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Механизмі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Алкандардың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10+5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Қанықпаған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алкендер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нықпаған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Электрофильді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Марковников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эффекті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Ацетиленді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ірсутектер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Электрофильді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нуклеофильді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орынбасу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Ацетиленді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көмірсутектердің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синтездеу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10+5</w:t>
            </w:r>
          </w:p>
        </w:tc>
      </w:tr>
      <w:tr w:rsidR="00D3296C" w:rsidTr="00E35A25">
        <w:trPr>
          <w:trHeight w:val="1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Алкадиендер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транс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изомериясы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Аллендер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1,3-бутадиеннің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1,2-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1,4-электрофилді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ірсутектердің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галоген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туындылары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Галоген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алкандардағы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SN1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SN2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Көмірте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галоген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полюстілігі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полюстенгіштігі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ұзынды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Галоген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табиғатының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әсірі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10+5+15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қылаудың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-100 балл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АБ-15 балл (лексика-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балл,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балл,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- 5 балл)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ОӨЖ-15 балл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сабақ-70 балл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Спирттер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Қаныққан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атомы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спирттер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Спирттердің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қышқылдық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Альдегидтер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кетондар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Конденсация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реакциялары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Қанықпаған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альдегидтер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8+5</w:t>
            </w:r>
          </w:p>
        </w:tc>
      </w:tr>
      <w:tr w:rsidR="00D3296C" w:rsidTr="00E35A25">
        <w:trPr>
          <w:trHeight w:val="10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Карбон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қышқылдары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(май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карбон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қышқылдары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туындылары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Карбоксил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тобының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Ангидридтер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амидтер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галогенангидридтер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күрдел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эфирлер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күрделі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эфирлердің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8+5</w:t>
            </w:r>
          </w:p>
        </w:tc>
      </w:tr>
      <w:tr w:rsidR="00D3296C" w:rsidTr="00E35A25">
        <w:trPr>
          <w:trHeight w:val="3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Азотты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Алифатты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нитроқосылыстар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Аралас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Окси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қышқылдар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номенклатурасы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изомерия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Окси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8+5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Аминқышқылдары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классификациясы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стереохимиясы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Пептидтік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Ақуыздардың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құрамы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Семинар.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Есептер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3296C" w:rsidTr="00E35A25">
        <w:trPr>
          <w:trHeight w:val="2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tabs>
                <w:tab w:val="lef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ірсулар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классификациясы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Моносахаридтердің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құрылысы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Энантиомерлер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диастероизомерлер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3296C" w:rsidRDefault="00D3296C" w:rsidP="00E35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Проекциялық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формулалары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Сақиналы-тізбекті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таутомерия.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8+5+16</w:t>
            </w:r>
          </w:p>
        </w:tc>
      </w:tr>
      <w:tr w:rsidR="00D3296C" w:rsidTr="00E35A25">
        <w:trPr>
          <w:trHeight w:val="1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қылаудың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-100 балл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АБ-16  балл (лексика-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5 балл,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айтылым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6 балл,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сөздікпен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- 5 балл)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ОӨЖ-15 балл</w:t>
            </w:r>
          </w:p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- 64 балл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6C" w:rsidRDefault="00D3296C" w:rsidP="00E35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D3296C" w:rsidRDefault="00D3296C" w:rsidP="00D3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96C" w:rsidRDefault="00D3296C" w:rsidP="00D3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96C" w:rsidRPr="00D3296C" w:rsidRDefault="00D3296C" w:rsidP="00D3296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Әдістемелік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бюроның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төрайымы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Г.Т.Тилеужанова</w:t>
      </w:r>
      <w:proofErr w:type="spellEnd"/>
    </w:p>
    <w:p w:rsidR="00D3296C" w:rsidRPr="00D3296C" w:rsidRDefault="00D3296C" w:rsidP="00D3296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Кафедра 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меңгерушісі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М.С.Мырзабеков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>О</w:t>
      </w:r>
      <w:proofErr w:type="spellStart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>қытушы</w:t>
      </w:r>
      <w:proofErr w:type="spellEnd"/>
      <w:r w:rsidRPr="00D3296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</w:t>
      </w: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 xml:space="preserve">      </w:t>
      </w:r>
      <w:r w:rsidRPr="00D3296C">
        <w:rPr>
          <w:rFonts w:ascii="Times New Roman" w:eastAsia="Times New Roman" w:hAnsi="Times New Roman" w:cs="Times New Roman"/>
          <w:color w:val="auto"/>
          <w:sz w:val="24"/>
          <w:szCs w:val="24"/>
          <w:lang w:val="kk-KZ"/>
        </w:rPr>
        <w:t>М.Әуелханқызы</w:t>
      </w:r>
    </w:p>
    <w:p w:rsidR="00D3296C" w:rsidRPr="00D3296C" w:rsidRDefault="00D3296C" w:rsidP="00D3296C">
      <w:pPr>
        <w:rPr>
          <w:color w:val="auto"/>
        </w:rPr>
      </w:pPr>
    </w:p>
    <w:p w:rsidR="00A80ABB" w:rsidRDefault="00A80ABB"/>
    <w:sectPr w:rsidR="00A80ABB" w:rsidSect="00D3296C">
      <w:pgSz w:w="11906" w:h="16838"/>
      <w:pgMar w:top="709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6C"/>
    <w:rsid w:val="00A80ABB"/>
    <w:rsid w:val="00AF446D"/>
    <w:rsid w:val="00D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6C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9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6C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6C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9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96C"/>
    <w:rPr>
      <w:rFonts w:ascii="Tahoma" w:eastAsiaTheme="minorEastAsi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uyelkhankyzy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SHUKHRAT</dc:creator>
  <cp:lastModifiedBy>SHUKHRAT</cp:lastModifiedBy>
  <cp:revision>2</cp:revision>
  <dcterms:created xsi:type="dcterms:W3CDTF">2020-04-07T13:58:00Z</dcterms:created>
  <dcterms:modified xsi:type="dcterms:W3CDTF">2020-04-07T14:02:00Z</dcterms:modified>
</cp:coreProperties>
</file>